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F8" w:rsidRPr="00C81BD3" w:rsidRDefault="006D63F8" w:rsidP="006D63F8">
      <w:r>
        <w:rPr>
          <w:sz w:val="24"/>
          <w:szCs w:val="24"/>
        </w:rPr>
        <w:t>L</w:t>
      </w:r>
      <w:r w:rsidRPr="00C81BD3">
        <w:rPr>
          <w:sz w:val="24"/>
          <w:szCs w:val="24"/>
        </w:rPr>
        <w:t xml:space="preserve">’article numéro 2 </w:t>
      </w:r>
      <w:r>
        <w:rPr>
          <w:sz w:val="24"/>
          <w:szCs w:val="24"/>
        </w:rPr>
        <w:t xml:space="preserve">du projet d’arrêté </w:t>
      </w:r>
      <w:r w:rsidRPr="00C81BD3">
        <w:rPr>
          <w:sz w:val="24"/>
          <w:szCs w:val="24"/>
        </w:rPr>
        <w:t>comporte une erreur :</w:t>
      </w:r>
    </w:p>
    <w:p w:rsidR="006D63F8" w:rsidRPr="00C81BD3" w:rsidRDefault="006D63F8" w:rsidP="006D63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81BD3">
        <w:rPr>
          <w:sz w:val="24"/>
          <w:szCs w:val="24"/>
        </w:rPr>
        <w:t xml:space="preserve">el qu’il est écrit il élimine de la liste des substances naturelles à usage </w:t>
      </w:r>
      <w:proofErr w:type="spellStart"/>
      <w:r w:rsidRPr="00C81BD3">
        <w:rPr>
          <w:sz w:val="24"/>
          <w:szCs w:val="24"/>
        </w:rPr>
        <w:t>biostimulants</w:t>
      </w:r>
      <w:proofErr w:type="spellEnd"/>
      <w:r w:rsidRPr="00C81BD3">
        <w:rPr>
          <w:sz w:val="24"/>
          <w:szCs w:val="24"/>
        </w:rPr>
        <w:t xml:space="preserve"> autorisées</w:t>
      </w:r>
      <w:r>
        <w:rPr>
          <w:sz w:val="24"/>
          <w:szCs w:val="24"/>
        </w:rPr>
        <w:t>,</w:t>
      </w:r>
      <w:r w:rsidRPr="00C81BD3">
        <w:rPr>
          <w:sz w:val="24"/>
          <w:szCs w:val="24"/>
        </w:rPr>
        <w:t xml:space="preserve"> les substances mentionnées à l’article D 4211-</w:t>
      </w:r>
      <w:r>
        <w:rPr>
          <w:sz w:val="24"/>
          <w:szCs w:val="24"/>
        </w:rPr>
        <w:t>11 du code de la santé publique et contredit l’article D 255-30-1-III du décret du 16 avril  2019.</w:t>
      </w:r>
    </w:p>
    <w:p w:rsidR="006D63F8" w:rsidRPr="00C81BD3" w:rsidRDefault="006D63F8" w:rsidP="006D63F8">
      <w:pPr>
        <w:rPr>
          <w:sz w:val="24"/>
          <w:szCs w:val="24"/>
        </w:rPr>
      </w:pPr>
      <w:r>
        <w:rPr>
          <w:sz w:val="24"/>
          <w:szCs w:val="24"/>
        </w:rPr>
        <w:t>Nous</w:t>
      </w:r>
      <w:r w:rsidRPr="00C81BD3">
        <w:rPr>
          <w:sz w:val="24"/>
          <w:szCs w:val="24"/>
        </w:rPr>
        <w:t xml:space="preserve"> proposons</w:t>
      </w:r>
      <w:r>
        <w:rPr>
          <w:sz w:val="24"/>
          <w:szCs w:val="24"/>
        </w:rPr>
        <w:t xml:space="preserve"> la formulation suivante</w:t>
      </w:r>
      <w:r w:rsidRPr="00C81BD3">
        <w:rPr>
          <w:sz w:val="24"/>
          <w:szCs w:val="24"/>
        </w:rPr>
        <w:t> :</w:t>
      </w:r>
    </w:p>
    <w:p w:rsidR="006D63F8" w:rsidRPr="007C4FED" w:rsidRDefault="006D63F8" w:rsidP="006D63F8">
      <w:pPr>
        <w:widowControl w:val="0"/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7C4FED">
        <w:rPr>
          <w:rFonts w:cstheme="minorHAnsi"/>
          <w:i/>
          <w:sz w:val="24"/>
          <w:szCs w:val="24"/>
        </w:rPr>
        <w:t>L’article 1 de l’arrêté du 27 avril 2016 susvisé est remplacé par les dispositions suivantes :</w:t>
      </w:r>
    </w:p>
    <w:p w:rsidR="006D63F8" w:rsidRPr="007C4FED" w:rsidRDefault="006D63F8" w:rsidP="006D63F8">
      <w:pPr>
        <w:widowControl w:val="0"/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7C4FED">
        <w:rPr>
          <w:rFonts w:cstheme="minorHAnsi"/>
          <w:i/>
          <w:sz w:val="24"/>
          <w:szCs w:val="24"/>
        </w:rPr>
        <w:t xml:space="preserve">Article 1 : Sont autorisées en tant que substances naturelles à usage de </w:t>
      </w:r>
      <w:proofErr w:type="spellStart"/>
      <w:r w:rsidRPr="007C4FED">
        <w:rPr>
          <w:rFonts w:cstheme="minorHAnsi"/>
          <w:i/>
          <w:sz w:val="24"/>
          <w:szCs w:val="24"/>
        </w:rPr>
        <w:t>biostimulants</w:t>
      </w:r>
      <w:proofErr w:type="spellEnd"/>
      <w:r w:rsidRPr="007C4FED">
        <w:rPr>
          <w:rFonts w:cstheme="minorHAnsi"/>
          <w:i/>
          <w:sz w:val="24"/>
          <w:szCs w:val="24"/>
        </w:rPr>
        <w:t> :</w:t>
      </w:r>
    </w:p>
    <w:p w:rsidR="006D63F8" w:rsidRPr="007C4FED" w:rsidRDefault="006D63F8" w:rsidP="006D63F8">
      <w:pPr>
        <w:widowControl w:val="0"/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  <w:r w:rsidRPr="007C4FED">
        <w:rPr>
          <w:rFonts w:cstheme="minorHAnsi"/>
          <w:i/>
          <w:sz w:val="24"/>
          <w:szCs w:val="24"/>
        </w:rPr>
        <w:t xml:space="preserve">  - Les substances mentionnées à l’article D. 4211-11 du code de la santé publique.</w:t>
      </w:r>
    </w:p>
    <w:p w:rsidR="006D63F8" w:rsidRPr="007C4FED" w:rsidRDefault="006D63F8" w:rsidP="006D63F8">
      <w:pPr>
        <w:rPr>
          <w:rFonts w:cstheme="minorHAnsi"/>
          <w:i/>
          <w:sz w:val="24"/>
          <w:szCs w:val="24"/>
        </w:rPr>
      </w:pPr>
      <w:r w:rsidRPr="007C4FED">
        <w:rPr>
          <w:rFonts w:cstheme="minorHAnsi"/>
          <w:i/>
          <w:sz w:val="24"/>
          <w:szCs w:val="24"/>
        </w:rPr>
        <w:t xml:space="preserve">  - Les parties consommables de plantes utilisées en alimentation animale ou humaine qui entrent dans la composition d’une préparation naturelle peu préoccupante conforme au cahier des charges « CDC PLANTES CONSOMMABLES » approuvé par l’arrêté du…</w:t>
      </w:r>
    </w:p>
    <w:p w:rsidR="006D63F8" w:rsidRPr="00C81BD3" w:rsidRDefault="006D63F8" w:rsidP="006D63F8">
      <w:pPr>
        <w:rPr>
          <w:rFonts w:ascii="Calibri" w:hAnsi="Calibri" w:cs="Calibri"/>
          <w:i/>
          <w:sz w:val="24"/>
          <w:szCs w:val="24"/>
          <w:u w:val="single"/>
        </w:rPr>
      </w:pPr>
    </w:p>
    <w:p w:rsidR="006D63F8" w:rsidRDefault="006D63F8" w:rsidP="006D63F8">
      <w:pPr>
        <w:rPr>
          <w:rFonts w:ascii="Calibri" w:hAnsi="Calibri" w:cs="Calibri"/>
          <w:sz w:val="24"/>
          <w:szCs w:val="24"/>
        </w:rPr>
      </w:pPr>
      <w:r w:rsidRPr="00C81BD3">
        <w:rPr>
          <w:rFonts w:ascii="Calibri" w:hAnsi="Calibri" w:cs="Calibri"/>
          <w:sz w:val="24"/>
          <w:szCs w:val="24"/>
          <w:u w:val="single"/>
        </w:rPr>
        <w:t>Concernant le cahier des charges</w:t>
      </w:r>
      <w:r>
        <w:rPr>
          <w:rFonts w:ascii="Calibri" w:hAnsi="Calibri" w:cs="Calibri"/>
          <w:sz w:val="24"/>
          <w:szCs w:val="24"/>
          <w:u w:val="single"/>
        </w:rPr>
        <w:t xml:space="preserve"> : </w:t>
      </w:r>
      <w:r w:rsidRPr="008A66F0">
        <w:rPr>
          <w:rFonts w:ascii="Calibri" w:hAnsi="Calibri" w:cs="Calibri"/>
          <w:sz w:val="24"/>
          <w:szCs w:val="24"/>
        </w:rPr>
        <w:t>une erreur</w:t>
      </w:r>
      <w:r>
        <w:rPr>
          <w:rFonts w:ascii="Calibri" w:hAnsi="Calibri" w:cs="Calibri"/>
          <w:sz w:val="24"/>
          <w:szCs w:val="24"/>
        </w:rPr>
        <w:t> :</w:t>
      </w:r>
    </w:p>
    <w:p w:rsidR="006D63F8" w:rsidRDefault="006D63F8" w:rsidP="006D63F8">
      <w:pPr>
        <w:rPr>
          <w:rFonts w:ascii="Calibri" w:hAnsi="Calibri" w:cs="Calibri"/>
          <w:i/>
          <w:sz w:val="24"/>
          <w:szCs w:val="24"/>
        </w:rPr>
      </w:pPr>
      <w:r w:rsidRPr="008A66F0">
        <w:rPr>
          <w:rFonts w:ascii="Calibri" w:hAnsi="Calibri" w:cs="Calibri"/>
          <w:sz w:val="24"/>
          <w:szCs w:val="24"/>
        </w:rPr>
        <w:t>Les produits conformes à ce cahier des charges ne sont pas autorisés par l’</w:t>
      </w:r>
      <w:r>
        <w:rPr>
          <w:rFonts w:ascii="Calibri" w:hAnsi="Calibri" w:cs="Calibri"/>
          <w:sz w:val="24"/>
          <w:szCs w:val="24"/>
        </w:rPr>
        <w:t>arrêté du 2</w:t>
      </w:r>
      <w:r w:rsidRPr="008A66F0">
        <w:rPr>
          <w:rFonts w:ascii="Calibri" w:hAnsi="Calibri" w:cs="Calibri"/>
          <w:sz w:val="24"/>
          <w:szCs w:val="24"/>
        </w:rPr>
        <w:t>7 avril 2016, mais par l’article IV du décret du 16 avril 2019</w:t>
      </w:r>
      <w:r>
        <w:rPr>
          <w:rFonts w:ascii="Calibri" w:hAnsi="Calibri" w:cs="Calibri"/>
          <w:i/>
          <w:sz w:val="24"/>
          <w:szCs w:val="24"/>
        </w:rPr>
        <w:t>.</w:t>
      </w:r>
    </w:p>
    <w:p w:rsidR="006D63F8" w:rsidRPr="007C4FED" w:rsidRDefault="006D63F8" w:rsidP="006D63F8">
      <w:pPr>
        <w:rPr>
          <w:rFonts w:ascii="Calibri" w:hAnsi="Calibri" w:cs="Calibri"/>
          <w:sz w:val="24"/>
          <w:szCs w:val="24"/>
        </w:rPr>
      </w:pPr>
      <w:r w:rsidRPr="007C4FED">
        <w:rPr>
          <w:rFonts w:ascii="Calibri" w:hAnsi="Calibri" w:cs="Calibri"/>
          <w:sz w:val="24"/>
          <w:szCs w:val="24"/>
        </w:rPr>
        <w:t>II MATIERES PREMIERES  II-3-d :</w:t>
      </w:r>
    </w:p>
    <w:p w:rsidR="006D63F8" w:rsidRDefault="006D63F8" w:rsidP="006D63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Nous contestons la restriction concernant les huiles essentielles ayant été approuvées pour un usage phytopharmaceutique. Elles peuvent avoir des effets </w:t>
      </w:r>
      <w:proofErr w:type="spellStart"/>
      <w:r>
        <w:rPr>
          <w:rFonts w:ascii="Calibri" w:hAnsi="Calibri" w:cs="Calibri"/>
          <w:sz w:val="24"/>
          <w:szCs w:val="24"/>
        </w:rPr>
        <w:t>biostimulants</w:t>
      </w:r>
      <w:proofErr w:type="spellEnd"/>
      <w:r>
        <w:rPr>
          <w:rFonts w:ascii="Calibri" w:hAnsi="Calibri" w:cs="Calibri"/>
          <w:sz w:val="24"/>
          <w:szCs w:val="24"/>
        </w:rPr>
        <w:t xml:space="preserve">, et dans ce cas ne relèvent pas de la même règlementation. Elles sont autorisées comme composants de compléments alimentaires (liste DGCCRF SD 4/4A), pourquoi seraient elles interdites comme </w:t>
      </w:r>
      <w:proofErr w:type="spellStart"/>
      <w:r>
        <w:rPr>
          <w:rFonts w:ascii="Calibri" w:hAnsi="Calibri" w:cs="Calibri"/>
          <w:sz w:val="24"/>
          <w:szCs w:val="24"/>
        </w:rPr>
        <w:t>biostimulants</w:t>
      </w:r>
      <w:proofErr w:type="spellEnd"/>
      <w:r>
        <w:rPr>
          <w:rFonts w:ascii="Calibri" w:hAnsi="Calibri" w:cs="Calibri"/>
          <w:sz w:val="24"/>
          <w:szCs w:val="24"/>
        </w:rPr>
        <w:t> ?</w:t>
      </w:r>
    </w:p>
    <w:p w:rsidR="006D63F8" w:rsidRPr="007C4FED" w:rsidRDefault="006D63F8" w:rsidP="006D63F8">
      <w:pPr>
        <w:rPr>
          <w:rFonts w:ascii="Calibri" w:hAnsi="Calibri" w:cs="Calibri"/>
          <w:sz w:val="24"/>
          <w:szCs w:val="24"/>
        </w:rPr>
      </w:pPr>
      <w:r w:rsidRPr="007C4FED">
        <w:rPr>
          <w:rFonts w:ascii="Calibri" w:hAnsi="Calibri" w:cs="Calibri"/>
          <w:sz w:val="24"/>
          <w:szCs w:val="24"/>
        </w:rPr>
        <w:t>IV UTILISATION DES PRODUITS</w:t>
      </w:r>
    </w:p>
    <w:p w:rsidR="006D63F8" w:rsidRPr="00A10D16" w:rsidRDefault="006D63F8" w:rsidP="006D63F8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A10D16">
        <w:rPr>
          <w:rFonts w:eastAsia="Times New Roman" w:cstheme="minorHAnsi"/>
          <w:sz w:val="24"/>
          <w:szCs w:val="24"/>
          <w:lang w:eastAsia="fr-FR"/>
        </w:rPr>
        <w:t xml:space="preserve">Nous ne sommes pas d’accord avec </w:t>
      </w:r>
      <w:r w:rsidRPr="003A1A05">
        <w:rPr>
          <w:rFonts w:eastAsia="Times New Roman" w:cstheme="minorHAnsi"/>
          <w:sz w:val="24"/>
          <w:szCs w:val="24"/>
          <w:lang w:eastAsia="fr-FR"/>
        </w:rPr>
        <w:t xml:space="preserve">les distance à respecter par rapport aux point d’eau, </w:t>
      </w:r>
      <w:r w:rsidRPr="00A10D16">
        <w:rPr>
          <w:rFonts w:eastAsia="Times New Roman" w:cstheme="minorHAnsi"/>
          <w:sz w:val="24"/>
          <w:szCs w:val="24"/>
          <w:lang w:eastAsia="fr-FR"/>
        </w:rPr>
        <w:t>car les HE au dosage employé n’agissent pas comme des pesticides, elle</w:t>
      </w:r>
      <w:r w:rsidRPr="003A1A05">
        <w:rPr>
          <w:rFonts w:eastAsia="Times New Roman" w:cstheme="minorHAnsi"/>
          <w:sz w:val="24"/>
          <w:szCs w:val="24"/>
          <w:lang w:eastAsia="fr-FR"/>
        </w:rPr>
        <w:t>s régulent</w:t>
      </w:r>
      <w:r w:rsidRPr="00A10D16">
        <w:rPr>
          <w:rFonts w:eastAsia="Times New Roman" w:cstheme="minorHAnsi"/>
          <w:sz w:val="24"/>
          <w:szCs w:val="24"/>
          <w:lang w:eastAsia="fr-FR"/>
        </w:rPr>
        <w:t xml:space="preserve"> l’environnement des plantes, stimulent, informent (par ex : message répulsif sur les prédateurs)</w:t>
      </w:r>
      <w:r w:rsidRPr="003A1A05">
        <w:rPr>
          <w:rFonts w:eastAsia="Times New Roman" w:cstheme="minorHAnsi"/>
          <w:sz w:val="24"/>
          <w:szCs w:val="24"/>
          <w:lang w:eastAsia="fr-FR"/>
        </w:rPr>
        <w:t xml:space="preserve">. </w:t>
      </w:r>
      <w:r>
        <w:rPr>
          <w:rFonts w:eastAsia="Times New Roman" w:cstheme="minorHAnsi"/>
          <w:sz w:val="24"/>
          <w:szCs w:val="24"/>
          <w:lang w:eastAsia="fr-FR"/>
        </w:rPr>
        <w:t>D</w:t>
      </w:r>
      <w:r w:rsidRPr="003A1A05">
        <w:rPr>
          <w:rFonts w:eastAsia="Times New Roman" w:cstheme="minorHAnsi"/>
          <w:sz w:val="24"/>
          <w:szCs w:val="24"/>
          <w:lang w:eastAsia="fr-FR"/>
        </w:rPr>
        <w:t xml:space="preserve">es plantes comme le </w:t>
      </w:r>
      <w:r>
        <w:rPr>
          <w:rFonts w:eastAsia="Times New Roman" w:cstheme="minorHAnsi"/>
          <w:sz w:val="24"/>
          <w:szCs w:val="24"/>
          <w:lang w:eastAsia="fr-FR"/>
        </w:rPr>
        <w:t>l</w:t>
      </w:r>
      <w:r w:rsidRPr="003A1A05">
        <w:rPr>
          <w:rFonts w:eastAsia="Times New Roman" w:cstheme="minorHAnsi"/>
          <w:sz w:val="24"/>
          <w:szCs w:val="24"/>
          <w:lang w:eastAsia="fr-FR"/>
        </w:rPr>
        <w:t>aurier noble,</w:t>
      </w:r>
      <w:r w:rsidRPr="00A10D16">
        <w:rPr>
          <w:rFonts w:eastAsia="Times New Roman" w:cstheme="minorHAnsi"/>
          <w:sz w:val="24"/>
          <w:szCs w:val="24"/>
          <w:lang w:eastAsia="fr-FR"/>
        </w:rPr>
        <w:t xml:space="preserve"> les résineux, les menthes (aquatiq</w:t>
      </w:r>
      <w:r>
        <w:rPr>
          <w:rFonts w:eastAsia="Times New Roman" w:cstheme="minorHAnsi"/>
          <w:sz w:val="24"/>
          <w:szCs w:val="24"/>
          <w:lang w:eastAsia="fr-FR"/>
        </w:rPr>
        <w:t>ue, à longues feuilles, crépues</w:t>
      </w:r>
      <w:r w:rsidRPr="00A10D16">
        <w:rPr>
          <w:rFonts w:eastAsia="Times New Roman" w:cstheme="minorHAnsi"/>
          <w:sz w:val="24"/>
          <w:szCs w:val="24"/>
          <w:lang w:eastAsia="fr-FR"/>
        </w:rPr>
        <w:t>), la valériane, l’angélique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3A1A05">
        <w:rPr>
          <w:rFonts w:eastAsia="Times New Roman" w:cstheme="minorHAnsi"/>
          <w:sz w:val="24"/>
          <w:szCs w:val="24"/>
          <w:lang w:eastAsia="fr-FR"/>
        </w:rPr>
        <w:t>poussent très souvent près des points d’eau et elles émettent leurs essences dans l’environnement à longueur de journée sans qu’on ait constaté d’effets négatifs</w:t>
      </w:r>
      <w:r w:rsidRPr="003A1A05">
        <w:rPr>
          <w:rFonts w:eastAsia="Times New Roman" w:cstheme="minorHAnsi"/>
          <w:lang w:eastAsia="fr-FR"/>
        </w:rPr>
        <w:t>.</w:t>
      </w:r>
    </w:p>
    <w:p w:rsidR="006D63F8" w:rsidRDefault="006D63F8" w:rsidP="006D63F8">
      <w:pPr>
        <w:rPr>
          <w:rFonts w:ascii="Calibri" w:hAnsi="Calibri" w:cs="Calibri"/>
          <w:sz w:val="24"/>
          <w:szCs w:val="24"/>
        </w:rPr>
      </w:pPr>
    </w:p>
    <w:p w:rsidR="006D63F8" w:rsidRPr="003A1A05" w:rsidRDefault="006D63F8" w:rsidP="006D63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L’interdiction d’application en présence de pollinisateurs ou d’auxiliaires s’applique naturellement aux huiles essentielles phytopharmaceutiques, mais ne nous semble pas justifiée pour les </w:t>
      </w:r>
      <w:proofErr w:type="spellStart"/>
      <w:r>
        <w:rPr>
          <w:rFonts w:ascii="Calibri" w:hAnsi="Calibri" w:cs="Calibri"/>
          <w:sz w:val="24"/>
          <w:szCs w:val="24"/>
        </w:rPr>
        <w:t>biostimulants</w:t>
      </w:r>
      <w:proofErr w:type="spellEnd"/>
      <w:r>
        <w:rPr>
          <w:rFonts w:ascii="Calibri" w:hAnsi="Calibri" w:cs="Calibri"/>
          <w:sz w:val="24"/>
          <w:szCs w:val="24"/>
        </w:rPr>
        <w:t xml:space="preserve"> dont certains peuvent être utilisés pour attirer les </w:t>
      </w:r>
      <w:r>
        <w:rPr>
          <w:rFonts w:ascii="Calibri" w:hAnsi="Calibri" w:cs="Calibri"/>
          <w:sz w:val="24"/>
          <w:szCs w:val="24"/>
        </w:rPr>
        <w:lastRenderedPageBreak/>
        <w:t>pollinisateurs ou les auxiliaires sur les cultures. L</w:t>
      </w:r>
      <w:r w:rsidRPr="003A1A05">
        <w:rPr>
          <w:sz w:val="24"/>
          <w:szCs w:val="24"/>
        </w:rPr>
        <w:t xml:space="preserve">’ITAB et le FREDON Nord </w:t>
      </w:r>
      <w:r>
        <w:rPr>
          <w:sz w:val="24"/>
          <w:szCs w:val="24"/>
        </w:rPr>
        <w:t>P</w:t>
      </w:r>
      <w:r w:rsidRPr="003A1A05">
        <w:rPr>
          <w:sz w:val="24"/>
          <w:szCs w:val="24"/>
        </w:rPr>
        <w:t>as de Calais ont clairement établi scientifiquement dans leur étude « Évaluation de l’intérêt d’huiles essentielles dans des stratégies de protection des cultures »  qu’aucune huile essentielle n’est toxique pour les pollinisateurs à la dose de 0,2% V/V que ce soit par ingestion ou par contact</w:t>
      </w:r>
      <w:r>
        <w:rPr>
          <w:sz w:val="24"/>
          <w:szCs w:val="24"/>
        </w:rPr>
        <w:t xml:space="preserve"> (</w:t>
      </w:r>
      <w:r w:rsidRPr="003A1A05">
        <w:rPr>
          <w:rFonts w:ascii="Arial" w:hAnsi="Arial" w:cs="Arial"/>
          <w:i/>
          <w:sz w:val="20"/>
          <w:szCs w:val="20"/>
        </w:rPr>
        <w:t>Innovations Agronomiques 63(2018), 191-210</w:t>
      </w:r>
      <w:r>
        <w:rPr>
          <w:rFonts w:ascii="Arial" w:hAnsi="Arial" w:cs="Arial"/>
          <w:i/>
          <w:sz w:val="20"/>
          <w:szCs w:val="20"/>
        </w:rPr>
        <w:t>).</w:t>
      </w:r>
    </w:p>
    <w:p w:rsidR="006D63F8" w:rsidRDefault="006D63F8" w:rsidP="006D63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précautions à prendre pour les personnes immunodéprimées  ou suivant un traitement immunodépresseur ne nous semblent pas justifiées.</w:t>
      </w:r>
    </w:p>
    <w:p w:rsidR="006D63F8" w:rsidRPr="00184C07" w:rsidRDefault="006D63F8" w:rsidP="006D63F8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Le délai de 3 jours avant récolte pour les produits issus de procédés non thermiques ne nous parait pas justifié.</w:t>
      </w:r>
    </w:p>
    <w:p w:rsidR="006D63F8" w:rsidRPr="00C81BD3" w:rsidRDefault="006D63F8" w:rsidP="006D63F8">
      <w:pPr>
        <w:rPr>
          <w:u w:val="single"/>
        </w:rPr>
      </w:pPr>
    </w:p>
    <w:p w:rsidR="00796A45" w:rsidRDefault="00796A45"/>
    <w:sectPr w:rsidR="00796A45" w:rsidSect="002C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D63F8"/>
    <w:rsid w:val="006D63F8"/>
    <w:rsid w:val="00796A45"/>
    <w:rsid w:val="00810675"/>
    <w:rsid w:val="00F2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2529</Characters>
  <Application>Microsoft Office Word</Application>
  <DocSecurity>4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Conf</cp:lastModifiedBy>
  <cp:revision>2</cp:revision>
  <dcterms:created xsi:type="dcterms:W3CDTF">2021-03-02T15:21:00Z</dcterms:created>
  <dcterms:modified xsi:type="dcterms:W3CDTF">2021-03-02T15:21:00Z</dcterms:modified>
</cp:coreProperties>
</file>